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62" w:right="0" w:firstLine="0"/>
        <w:jc w:val="center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3a6168"/>
          <w:sz w:val="40"/>
          <w:szCs w:val="40"/>
          <w:rtl w:val="0"/>
        </w:rPr>
        <w:t xml:space="preserve">Material de estudio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62" w:right="0" w:firstLine="0"/>
        <w:jc w:val="center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6"/>
          <w:szCs w:val="26"/>
          <w:rtl w:val="0"/>
        </w:rPr>
        <w:t xml:space="preserve">La construcción europea y la libre circulación de personas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Verdana" w:cs="Verdana" w:eastAsia="Verdana" w:hAnsi="Verdana"/>
          <w:color w:val="3a6168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426" w:firstLine="0"/>
        <w:jc w:val="both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after="80" w:before="280" w:lineRule="auto"/>
        <w:ind w:left="426" w:firstLine="0"/>
        <w:jc w:val="both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jdx4dafls1k4" w:id="0"/>
      <w:bookmarkEnd w:id="0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1. ¿Por qué existe la Unión Europea?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Unión Europea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surge tras la Segunda Guerra Mundial con un objetivo claro: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evitar nuevos conflictos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y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mejorar las condiciones de vida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de los países europeos mediante la cooperación. Con el paso del tiempo, esta cooperación se ha ampliado desde lo económico hasta lo social, educativo y laboral.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Hoy, la Unión Europea no es solo un proyecto político, sino un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marco de derechos prácticos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que afecta directamente a tu vida cotidiana.</w:t>
      </w:r>
    </w:p>
    <w:p w:rsidR="00000000" w:rsidDel="00000000" w:rsidP="00000000" w:rsidRDefault="00000000" w:rsidRPr="00000000" w14:paraId="00000008">
      <w:pPr>
        <w:ind w:left="426" w:firstLine="0"/>
        <w:jc w:val="both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pacing w:after="80" w:before="280" w:lineRule="auto"/>
        <w:ind w:left="426" w:firstLine="0"/>
        <w:jc w:val="both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mubmsqzb8n" w:id="1"/>
      <w:bookmarkEnd w:id="1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2. De la cooperación económica a los derechos ciudadanos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En sus inicios, la integración europea se centró en compartir recursos económicos clave. A medida que la confianza entre los países aumentó, se dieron pasos decisivos para facilitar la vida de las personas: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Eliminación progresiva de barreras entre países.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Reconocimiento de derechos comunes.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Creación de normas compartidas para trabajar, estudiar o residir en otro Estado miembro.</w:t>
        <w:br w:type="textWrapping"/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Este proceso explica por qué hoy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puedes desplazarte y establecerte en otro país de la UE con menos trámites que fuera de ella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0F">
      <w:pPr>
        <w:ind w:left="426" w:firstLine="0"/>
        <w:jc w:val="both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spacing w:after="80" w:before="280" w:lineRule="auto"/>
        <w:ind w:left="426" w:firstLine="0"/>
        <w:jc w:val="both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209wtumyzmie" w:id="2"/>
      <w:bookmarkEnd w:id="2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3. La libre circulación de personas: qué significa en la práctica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libre circulación de personas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es uno de los pilares fundamentales de la Unión Europea. En términos prácticos, significa que: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Puedes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viajar, residir, trabajar o formarte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en cualquier país de la UE.</w:t>
        <w:br w:type="textWrapping"/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No necesitas visado ni permiso especial por el mero hecho de ser ciudadano europeo.</w:t>
        <w:br w:type="textWrapping"/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Tienes derecho 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igualdad de trato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en el acceso al empleo o a la formación.</w:t>
        <w:br w:type="textWrapping"/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Este derecho no es automático ni abstracto: está respaldado por normas y acuerdos que obligan a los Estados miembros a respetarlo.</w:t>
      </w:r>
    </w:p>
    <w:p w:rsidR="00000000" w:rsidDel="00000000" w:rsidP="00000000" w:rsidRDefault="00000000" w:rsidRPr="00000000" w14:paraId="00000016">
      <w:pPr>
        <w:ind w:left="426" w:firstLine="0"/>
        <w:jc w:val="both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keepNext w:val="0"/>
        <w:keepLines w:val="0"/>
        <w:spacing w:after="80" w:before="280" w:lineRule="auto"/>
        <w:ind w:left="426" w:firstLine="0"/>
        <w:jc w:val="both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ogid6vgh3aly" w:id="3"/>
      <w:bookmarkEnd w:id="3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4. Límites y condiciones: lo que conviene conocer</w:t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Aunque la libre circulación amplía tus derechos,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no elimina todas las normas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 Existen condiciones que es importante conocer: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Puede ser necesario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registrar tu residencia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si permaneces más de un tiempo determinado.</w:t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Algunos derechos sociales dependen de la situación laboral o de la duración de la estancia.</w:t>
        <w:br w:type="textWrapping"/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Cada país mantiene su propio sistema administrativo.</w:t>
        <w:br w:type="textWrapping"/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Conocer estas condiciones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evita problemas y falsas expectativas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al planificar una movilidad.</w:t>
      </w:r>
    </w:p>
    <w:p w:rsidR="00000000" w:rsidDel="00000000" w:rsidP="00000000" w:rsidRDefault="00000000" w:rsidRPr="00000000" w14:paraId="0000001D">
      <w:pPr>
        <w:ind w:left="426" w:firstLine="0"/>
        <w:jc w:val="both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3"/>
        <w:keepNext w:val="0"/>
        <w:keepLines w:val="0"/>
        <w:spacing w:after="80" w:before="280" w:lineRule="auto"/>
        <w:ind w:left="426" w:firstLine="0"/>
        <w:jc w:val="both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rqyv6exu2y0l" w:id="4"/>
      <w:bookmarkEnd w:id="4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5. ¿Dónde se nota este derecho en la vida cotidiana?</w:t>
      </w:r>
    </w:p>
    <w:p w:rsidR="00000000" w:rsidDel="00000000" w:rsidP="00000000" w:rsidRDefault="00000000" w:rsidRPr="00000000" w14:paraId="0000001F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 libre circulación se refleja en situaciones muy habituales, por ejemplo: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Personas que trabajan en un país europeo distinto al de nacimiento.</w:t>
        <w:br w:type="textWrapping"/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Reconocimiento de títulos o competencias profesionales.</w:t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Acceso a programas de formación o prácticas en otros países.</w:t>
        <w:br w:type="textWrapping"/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Posibilidad de regresar a tu país de origen sin perder derechos adquiridos.</w:t>
        <w:br w:type="textWrapping"/>
      </w:r>
    </w:p>
    <w:p w:rsidR="00000000" w:rsidDel="00000000" w:rsidP="00000000" w:rsidRDefault="00000000" w:rsidRPr="00000000" w14:paraId="00000024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Estos ejemplos muestran que la integración europea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no es teórica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, sino una herramienta real para ampliar opciones personales y profesionales.</w:t>
      </w:r>
    </w:p>
    <w:p w:rsidR="00000000" w:rsidDel="00000000" w:rsidP="00000000" w:rsidRDefault="00000000" w:rsidRPr="00000000" w14:paraId="00000025">
      <w:pPr>
        <w:ind w:left="426" w:firstLine="0"/>
        <w:jc w:val="both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after="80" w:before="280" w:lineRule="auto"/>
        <w:ind w:left="426" w:firstLine="0"/>
        <w:jc w:val="both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i87ahg9b7067" w:id="5"/>
      <w:bookmarkEnd w:id="5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6. Ideas clave para recordar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 Unión Europea se construye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paso a paso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, a través de acuerdos entre países.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 libre circulación es un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derecho ciudadano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, no un privilegio.</w:t>
        <w:br w:type="textWrapping"/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Comprender su origen ayuda 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valorar y defender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este derecho.</w:t>
        <w:br w:type="textWrapping"/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Informarse bien es clave para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usar la movilidad europea con seguridad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firstLine="0"/>
        <w:jc w:val="both"/>
        <w:rPr>
          <w:rFonts w:ascii="Verdana" w:cs="Verdana" w:eastAsia="Verdana" w:hAnsi="Verdana"/>
          <w:b w:val="1"/>
          <w:bCs w:val="1"/>
          <w:color w:val="3a6168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2083" w:left="1440" w:right="616" w:header="42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-923920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00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-923920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0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b="0" l="0" r="0" t="0"/>
          <wp:wrapNone/>
          <wp:docPr id="10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0230.0" w:type="dxa"/>
      <w:jc w:val="left"/>
      <w:tblInd w:w="-743.0" w:type="dxa"/>
      <w:tblLayout w:type="fixed"/>
      <w:tblLook w:val="0400"/>
    </w:tblPr>
    <w:tblGrid>
      <w:gridCol w:w="4253"/>
      <w:gridCol w:w="2897"/>
      <w:gridCol w:w="3080"/>
      <w:tblGridChange w:id="0">
        <w:tblGrid>
          <w:gridCol w:w="4253"/>
          <w:gridCol w:w="2897"/>
          <w:gridCol w:w="308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33">
          <w:pPr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Servicio de Educación Permanente. CARM  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4">
          <w:pPr>
            <w:rPr/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5">
          <w:pPr>
            <w:jc w:val="right"/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-3238499</wp:posOffset>
          </wp:positionH>
          <wp:positionV relativeFrom="paragraph">
            <wp:posOffset>20867122</wp:posOffset>
          </wp:positionV>
          <wp:extent cx="8686800" cy="11241741"/>
          <wp:effectExtent b="0" l="0" r="0" t="0"/>
          <wp:wrapNone/>
          <wp:docPr id="10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1418" w:right="0" w:firstLine="0"/>
      <w:jc w:val="center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-923920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9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-923920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9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-942970</wp:posOffset>
              </wp:positionH>
              <wp:positionV relativeFrom="paragraph">
                <wp:posOffset>-1199194</wp:posOffset>
              </wp:positionV>
              <wp:extent cx="0" cy="28575"/>
              <wp:effectExtent b="0" l="0" r="0" t="0"/>
              <wp:wrapNone/>
              <wp:docPr id="98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-942970</wp:posOffset>
              </wp:positionH>
              <wp:positionV relativeFrom="paragraph">
                <wp:posOffset>-1199194</wp:posOffset>
              </wp:positionV>
              <wp:extent cx="0" cy="28575"/>
              <wp:effectExtent b="0" l="0" r="0" t="0"/>
              <wp:wrapNone/>
              <wp:docPr id="98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1"/>
      <w:tblW w:w="11060.0" w:type="dxa"/>
      <w:jc w:val="left"/>
      <w:tblInd w:w="-885.0" w:type="dxa"/>
      <w:tblBorders>
        <w:bottom w:color="000000" w:space="0" w:sz="12" w:val="single"/>
      </w:tblBorders>
      <w:tblLayout w:type="fixed"/>
      <w:tblLook w:val="0400"/>
    </w:tblPr>
    <w:tblGrid>
      <w:gridCol w:w="5955"/>
      <w:gridCol w:w="5105"/>
      <w:tblGridChange w:id="0">
        <w:tblGrid>
          <w:gridCol w:w="5955"/>
          <w:gridCol w:w="5105"/>
        </w:tblGrid>
      </w:tblGridChange>
    </w:tblGrid>
    <w:tr>
      <w:trPr>
        <w:cantSplit w:val="0"/>
        <w:trHeight w:val="585" w:hRule="atLeast"/>
        <w:tblHeader w:val="0"/>
      </w:trPr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2D">
          <w:pPr>
            <w:ind w:right="318"/>
            <w:rPr>
              <w:b w:val="1"/>
              <w:bCs w:val="1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bCs w:val="1"/>
              <w:color w:val="3a6168"/>
              <w:rtl w:val="0"/>
            </w:rPr>
            <w:t xml:space="preserve">REA: Europa en tu bolsillo: Manual de instrucciones para el ciudadano de hoy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2E">
          <w:pPr>
            <w:jc w:val="right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447676</wp:posOffset>
                </wp:positionH>
                <wp:positionV relativeFrom="paragraph">
                  <wp:posOffset>-28572</wp:posOffset>
                </wp:positionV>
                <wp:extent cx="2511840" cy="401895"/>
                <wp:effectExtent b="0" l="0" r="0" t="0"/>
                <wp:wrapNone/>
                <wp:docPr id="10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2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s-ES_tradn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 w:val="1"/>
    <w:rsid w:val="00FC693F"/>
    <w:pPr>
      <w:spacing w:after="0" w:line="240" w:lineRule="auto"/>
    </w:pPr>
  </w:style>
  <w:style w:type="character" w:styleId="Ttulo1Car" w:customStyle="1">
    <w:name w:val="Título 1 Car"/>
    <w:basedOn w:val="Fuentedeprrafopredeter"/>
    <w:link w:val="Ttulo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PuestoCar" w:customStyle="1">
    <w:name w:val="Puesto Car"/>
    <w:basedOn w:val="Fuentedeprrafopredeter"/>
    <w:link w:val="Puesto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tuloCar" w:customStyle="1">
    <w:name w:val="Subtítulo Car"/>
    <w:basedOn w:val="Fuentedeprrafopredeter"/>
    <w:link w:val="Subttulo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Textoindependiente">
    <w:name w:val="Body Text"/>
    <w:basedOn w:val="Normal"/>
    <w:link w:val="TextoindependienteCar"/>
    <w:uiPriority w:val="99"/>
    <w:unhideWhenUsed w:val="1"/>
    <w:rsid w:val="00AA1D8D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 w:val="1"/>
    <w:rsid w:val="00AA1D8D"/>
    <w:pPr>
      <w:spacing w:after="120" w:line="480" w:lineRule="auto"/>
    </w:p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a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a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aconvietas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aconvietas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aconvietas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aconnmeros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aconnmeros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aconnmeros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Continuarlista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Continuarlista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Continuarlista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Textomacro">
    <w:name w:val="macro"/>
    <w:link w:val="TextomacroC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 w:val="1"/>
    <w:rsid w:val="00FC693F"/>
    <w:rPr>
      <w:i w:val="1"/>
      <w:iCs w:val="1"/>
      <w:color w:val="000000" w:themeColor="text1"/>
    </w:rPr>
  </w:style>
  <w:style w:type="character" w:styleId="CitaCar" w:customStyle="1">
    <w:name w:val="Cita Car"/>
    <w:basedOn w:val="Fuentedeprrafopredeter"/>
    <w:link w:val="Cita"/>
    <w:uiPriority w:val="29"/>
    <w:rsid w:val="00FC693F"/>
    <w:rPr>
      <w:i w:val="1"/>
      <w:iCs w:val="1"/>
      <w:color w:val="000000" w:themeColor="text1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Descripci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 w:val="1"/>
    <w:rsid w:val="00FC693F"/>
    <w:rPr>
      <w:b w:val="1"/>
      <w:bCs w:val="1"/>
    </w:rPr>
  </w:style>
  <w:style w:type="character" w:styleId="nfasis">
    <w:name w:val="Emphasis"/>
    <w:basedOn w:val="Fuentedeprrafopredeter"/>
    <w:uiPriority w:val="20"/>
    <w:qFormat w:val="1"/>
    <w:rsid w:val="00FC693F"/>
    <w:rPr>
      <w:i w:val="1"/>
      <w:iCs w:val="1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nfasissutil">
    <w:name w:val="Subtle Emphasis"/>
    <w:basedOn w:val="Fuentedeprrafopredeter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nfasisintenso">
    <w:name w:val="Intense Emphasis"/>
    <w:basedOn w:val="Fuentedeprrafopredeter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Referenciasutil">
    <w:name w:val="Subtle Reference"/>
    <w:basedOn w:val="Fuentedeprrafopredeter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tulodeTDC">
    <w:name w:val="TOC Heading"/>
    <w:basedOn w:val="Ttulo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character" w:styleId="Hipervnculo">
    <w:name w:val="Hyperlink"/>
    <w:basedOn w:val="Fuentedeprrafopredeter"/>
    <w:uiPriority w:val="99"/>
    <w:unhideWhenUsed w:val="1"/>
    <w:rsid w:val="000E3874"/>
    <w:rPr>
      <w:color w:val="0000ff" w:themeColor="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ZbMaLvD4mr+FiHdzU9wnoebwIA==">CgMxLjAyDmguamR4NGRhZmxzMWs0MgxoLm11Ym1zcXpiOG4yDmguMjA5d3R1bXl6bWllMg5oLm9naWQ2dmdoM2FseTIOaC5ycXl2NmV4dTJ5MGwyDmguaTg3YWhnOWI3MDY3OAByITFucUIxclJSQ00wak0wWmlYUWQ1RTBqdkZ3YWVZX1pTbw==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2025-09-01T11:14:00Z</dcterms:created>
  <dc:creator>python-docx</dc:creator>
</cp:coreProperties>
</file>